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D6D08B" w14:textId="1A2BB64D" w:rsidR="00185E97" w:rsidRPr="004424FD" w:rsidRDefault="004424FD" w:rsidP="004424FD">
      <w:pPr>
        <w:pBdr>
          <w:bottom w:val="single" w:sz="18" w:space="1" w:color="auto"/>
        </w:pBdr>
        <w:rPr>
          <w:b/>
          <w:sz w:val="28"/>
          <w:szCs w:val="28"/>
        </w:rPr>
      </w:pPr>
      <w:r w:rsidRPr="004424FD">
        <w:rPr>
          <w:b/>
          <w:sz w:val="28"/>
          <w:szCs w:val="28"/>
        </w:rPr>
        <w:t>Recent Staffing and Enrollment Trends</w:t>
      </w:r>
      <w:r w:rsidR="00185E97">
        <w:rPr>
          <w:b/>
          <w:sz w:val="28"/>
          <w:szCs w:val="28"/>
        </w:rPr>
        <w:tab/>
      </w:r>
      <w:r w:rsidR="00185E97">
        <w:rPr>
          <w:b/>
          <w:sz w:val="28"/>
          <w:szCs w:val="28"/>
        </w:rPr>
        <w:tab/>
      </w:r>
      <w:r w:rsidR="00185E97">
        <w:rPr>
          <w:b/>
          <w:sz w:val="28"/>
          <w:szCs w:val="28"/>
        </w:rPr>
        <w:tab/>
      </w:r>
      <w:r w:rsidR="00185E97">
        <w:rPr>
          <w:b/>
          <w:sz w:val="28"/>
          <w:szCs w:val="28"/>
        </w:rPr>
        <w:tab/>
      </w:r>
      <w:r w:rsidR="009909F5">
        <w:rPr>
          <w:b/>
          <w:sz w:val="28"/>
          <w:szCs w:val="28"/>
        </w:rPr>
        <w:t>SIUC Faculty Association  27</w:t>
      </w:r>
      <w:r w:rsidR="00185E97">
        <w:rPr>
          <w:b/>
          <w:sz w:val="28"/>
          <w:szCs w:val="28"/>
        </w:rPr>
        <w:t xml:space="preserve"> April 2017</w:t>
      </w:r>
    </w:p>
    <w:p w14:paraId="3CE80CAC" w14:textId="77777777" w:rsidR="004424FD" w:rsidRPr="004424FD" w:rsidRDefault="004424FD" w:rsidP="004424FD"/>
    <w:tbl>
      <w:tblPr>
        <w:tblStyle w:val="TableGrid"/>
        <w:tblW w:w="0" w:type="auto"/>
        <w:tblInd w:w="226" w:type="dxa"/>
        <w:tblLook w:val="04A0" w:firstRow="1" w:lastRow="0" w:firstColumn="1" w:lastColumn="0" w:noHBand="0" w:noVBand="1"/>
      </w:tblPr>
      <w:tblGrid>
        <w:gridCol w:w="4089"/>
        <w:gridCol w:w="1800"/>
        <w:gridCol w:w="1710"/>
        <w:gridCol w:w="1666"/>
      </w:tblGrid>
      <w:tr w:rsidR="004424FD" w:rsidRPr="004424FD" w14:paraId="2FD0C02B" w14:textId="77777777" w:rsidTr="004424FD">
        <w:tc>
          <w:tcPr>
            <w:tcW w:w="4089" w:type="dxa"/>
          </w:tcPr>
          <w:p w14:paraId="2D3B0637" w14:textId="77777777" w:rsidR="004424FD" w:rsidRPr="004424FD" w:rsidRDefault="004424FD" w:rsidP="00791630"/>
        </w:tc>
        <w:tc>
          <w:tcPr>
            <w:tcW w:w="1800" w:type="dxa"/>
          </w:tcPr>
          <w:p w14:paraId="4C6A3CC1" w14:textId="77777777" w:rsidR="004424FD" w:rsidRPr="004424FD" w:rsidRDefault="004424FD" w:rsidP="00791630">
            <w:r w:rsidRPr="004424FD">
              <w:t>Fall 2007</w:t>
            </w:r>
          </w:p>
        </w:tc>
        <w:tc>
          <w:tcPr>
            <w:tcW w:w="1710" w:type="dxa"/>
          </w:tcPr>
          <w:p w14:paraId="22A98A9D" w14:textId="77777777" w:rsidR="004424FD" w:rsidRPr="004424FD" w:rsidRDefault="004424FD" w:rsidP="00791630">
            <w:r w:rsidRPr="004424FD">
              <w:t>Fall 2016</w:t>
            </w:r>
          </w:p>
        </w:tc>
        <w:tc>
          <w:tcPr>
            <w:tcW w:w="1666" w:type="dxa"/>
          </w:tcPr>
          <w:p w14:paraId="5D375BFC" w14:textId="77777777" w:rsidR="004424FD" w:rsidRPr="004424FD" w:rsidRDefault="004424FD" w:rsidP="00791630">
            <w:r w:rsidRPr="004424FD">
              <w:t>Change</w:t>
            </w:r>
          </w:p>
        </w:tc>
      </w:tr>
      <w:tr w:rsidR="004424FD" w:rsidRPr="004424FD" w14:paraId="4629A9D9" w14:textId="77777777" w:rsidTr="004424FD">
        <w:tc>
          <w:tcPr>
            <w:tcW w:w="4089" w:type="dxa"/>
          </w:tcPr>
          <w:p w14:paraId="7669017E" w14:textId="77777777" w:rsidR="004424FD" w:rsidRPr="004424FD" w:rsidRDefault="004424FD" w:rsidP="00791630">
            <w:r w:rsidRPr="004424FD">
              <w:t>Students</w:t>
            </w:r>
          </w:p>
        </w:tc>
        <w:tc>
          <w:tcPr>
            <w:tcW w:w="1800" w:type="dxa"/>
          </w:tcPr>
          <w:p w14:paraId="356B30BE"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20</w:t>
            </w:r>
            <w:r w:rsidRPr="004424FD">
              <w:rPr>
                <w:rFonts w:eastAsia="Times New Roman" w:cs="Times New Roman"/>
                <w:color w:val="000000"/>
              </w:rPr>
              <w:t>,</w:t>
            </w:r>
            <w:r w:rsidRPr="004424FD">
              <w:rPr>
                <w:rFonts w:eastAsia="Times New Roman" w:cs="Times New Roman"/>
                <w:color w:val="000000"/>
              </w:rPr>
              <w:t>983</w:t>
            </w:r>
          </w:p>
        </w:tc>
        <w:tc>
          <w:tcPr>
            <w:tcW w:w="1710" w:type="dxa"/>
          </w:tcPr>
          <w:p w14:paraId="6C39A723"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15</w:t>
            </w:r>
            <w:r w:rsidRPr="004424FD">
              <w:rPr>
                <w:rFonts w:eastAsia="Times New Roman" w:cs="Times New Roman"/>
                <w:color w:val="000000"/>
              </w:rPr>
              <w:t>,</w:t>
            </w:r>
            <w:r w:rsidRPr="004424FD">
              <w:rPr>
                <w:rFonts w:eastAsia="Times New Roman" w:cs="Times New Roman"/>
                <w:color w:val="000000"/>
              </w:rPr>
              <w:t>987</w:t>
            </w:r>
          </w:p>
        </w:tc>
        <w:tc>
          <w:tcPr>
            <w:tcW w:w="1666" w:type="dxa"/>
          </w:tcPr>
          <w:p w14:paraId="7ACDD9CE"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-23.8</w:t>
            </w:r>
            <w:r w:rsidRPr="004424FD">
              <w:rPr>
                <w:rFonts w:eastAsia="Times New Roman" w:cs="Times New Roman"/>
                <w:color w:val="000000"/>
              </w:rPr>
              <w:t>%</w:t>
            </w:r>
          </w:p>
        </w:tc>
      </w:tr>
      <w:tr w:rsidR="004424FD" w:rsidRPr="004424FD" w14:paraId="6B48465A" w14:textId="77777777" w:rsidTr="004424FD">
        <w:tc>
          <w:tcPr>
            <w:tcW w:w="4089" w:type="dxa"/>
          </w:tcPr>
          <w:p w14:paraId="4765C6F8" w14:textId="77777777" w:rsidR="004424FD" w:rsidRPr="004424FD" w:rsidRDefault="004424FD" w:rsidP="00791630">
            <w:r w:rsidRPr="004424FD">
              <w:t>TT Faculty (full time)</w:t>
            </w:r>
          </w:p>
        </w:tc>
        <w:tc>
          <w:tcPr>
            <w:tcW w:w="1800" w:type="dxa"/>
          </w:tcPr>
          <w:p w14:paraId="268EE978"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827</w:t>
            </w:r>
          </w:p>
        </w:tc>
        <w:tc>
          <w:tcPr>
            <w:tcW w:w="1710" w:type="dxa"/>
          </w:tcPr>
          <w:p w14:paraId="539F5E1C"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653</w:t>
            </w:r>
          </w:p>
        </w:tc>
        <w:tc>
          <w:tcPr>
            <w:tcW w:w="1666" w:type="dxa"/>
          </w:tcPr>
          <w:p w14:paraId="23EA36E2"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-21.0%</w:t>
            </w:r>
          </w:p>
        </w:tc>
      </w:tr>
      <w:tr w:rsidR="004424FD" w:rsidRPr="004424FD" w14:paraId="1CC0C4FC" w14:textId="77777777" w:rsidTr="004424FD">
        <w:tc>
          <w:tcPr>
            <w:tcW w:w="4089" w:type="dxa"/>
          </w:tcPr>
          <w:p w14:paraId="4EBFEB1F" w14:textId="77777777" w:rsidR="004424FD" w:rsidRPr="004424FD" w:rsidRDefault="004424FD" w:rsidP="00791630">
            <w:r w:rsidRPr="004424FD">
              <w:t>NTT Faculty (full time)</w:t>
            </w:r>
          </w:p>
        </w:tc>
        <w:tc>
          <w:tcPr>
            <w:tcW w:w="1800" w:type="dxa"/>
          </w:tcPr>
          <w:p w14:paraId="33ABEAFD"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529</w:t>
            </w:r>
          </w:p>
        </w:tc>
        <w:tc>
          <w:tcPr>
            <w:tcW w:w="1710" w:type="dxa"/>
          </w:tcPr>
          <w:p w14:paraId="6562C6DF"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477</w:t>
            </w:r>
          </w:p>
        </w:tc>
        <w:tc>
          <w:tcPr>
            <w:tcW w:w="1666" w:type="dxa"/>
          </w:tcPr>
          <w:p w14:paraId="1974467C"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-9.8%</w:t>
            </w:r>
          </w:p>
        </w:tc>
      </w:tr>
      <w:tr w:rsidR="004424FD" w:rsidRPr="004424FD" w14:paraId="2BFBC801" w14:textId="77777777" w:rsidTr="004424FD">
        <w:tc>
          <w:tcPr>
            <w:tcW w:w="4089" w:type="dxa"/>
          </w:tcPr>
          <w:p w14:paraId="2A51CB65" w14:textId="77777777" w:rsidR="004424FD" w:rsidRPr="004424FD" w:rsidRDefault="004424FD" w:rsidP="00791630">
            <w:r w:rsidRPr="004424FD">
              <w:t>Executive/Administrative/</w:t>
            </w:r>
            <w:r w:rsidRPr="004424FD">
              <w:t>Professional</w:t>
            </w:r>
          </w:p>
        </w:tc>
        <w:tc>
          <w:tcPr>
            <w:tcW w:w="1800" w:type="dxa"/>
          </w:tcPr>
          <w:p w14:paraId="1EF49EFC"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210</w:t>
            </w:r>
          </w:p>
        </w:tc>
        <w:tc>
          <w:tcPr>
            <w:tcW w:w="1710" w:type="dxa"/>
          </w:tcPr>
          <w:p w14:paraId="2983F35A"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196</w:t>
            </w:r>
          </w:p>
        </w:tc>
        <w:tc>
          <w:tcPr>
            <w:tcW w:w="1666" w:type="dxa"/>
          </w:tcPr>
          <w:p w14:paraId="461B9A50"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-6.7%</w:t>
            </w:r>
          </w:p>
        </w:tc>
      </w:tr>
      <w:tr w:rsidR="004424FD" w:rsidRPr="004424FD" w14:paraId="3A7EBDBF" w14:textId="77777777" w:rsidTr="004424FD">
        <w:tc>
          <w:tcPr>
            <w:tcW w:w="4089" w:type="dxa"/>
          </w:tcPr>
          <w:p w14:paraId="75349924" w14:textId="77777777" w:rsidR="004424FD" w:rsidRPr="004424FD" w:rsidRDefault="004424FD" w:rsidP="00791630">
            <w:r w:rsidRPr="004424FD">
              <w:t>Professional non-faculty</w:t>
            </w:r>
          </w:p>
        </w:tc>
        <w:tc>
          <w:tcPr>
            <w:tcW w:w="1800" w:type="dxa"/>
          </w:tcPr>
          <w:p w14:paraId="7DE3DE8E"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w:t>
            </w:r>
            <w:r w:rsidRPr="004424FD">
              <w:rPr>
                <w:rFonts w:eastAsia="Times New Roman" w:cs="Times New Roman"/>
                <w:color w:val="000000"/>
              </w:rPr>
              <w:t>,</w:t>
            </w:r>
            <w:r w:rsidRPr="004424FD">
              <w:rPr>
                <w:rFonts w:eastAsia="Times New Roman" w:cs="Times New Roman"/>
                <w:color w:val="000000"/>
              </w:rPr>
              <w:t>440</w:t>
            </w:r>
          </w:p>
        </w:tc>
        <w:tc>
          <w:tcPr>
            <w:tcW w:w="1710" w:type="dxa"/>
          </w:tcPr>
          <w:p w14:paraId="29DDDDC1"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1,397</w:t>
            </w:r>
          </w:p>
        </w:tc>
        <w:tc>
          <w:tcPr>
            <w:tcW w:w="1666" w:type="dxa"/>
          </w:tcPr>
          <w:p w14:paraId="3F910BCE"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-3.0%</w:t>
            </w:r>
          </w:p>
        </w:tc>
      </w:tr>
      <w:tr w:rsidR="004424FD" w:rsidRPr="004424FD" w14:paraId="40803796" w14:textId="77777777" w:rsidTr="004424FD">
        <w:tc>
          <w:tcPr>
            <w:tcW w:w="4089" w:type="dxa"/>
          </w:tcPr>
          <w:p w14:paraId="2B420F0C" w14:textId="77777777" w:rsidR="004424FD" w:rsidRPr="004424FD" w:rsidRDefault="004424FD" w:rsidP="00791630">
            <w:r w:rsidRPr="004424FD">
              <w:t>Secretarial/Clerical</w:t>
            </w:r>
          </w:p>
        </w:tc>
        <w:tc>
          <w:tcPr>
            <w:tcW w:w="1800" w:type="dxa"/>
          </w:tcPr>
          <w:p w14:paraId="2047FDDA"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950</w:t>
            </w:r>
          </w:p>
        </w:tc>
        <w:tc>
          <w:tcPr>
            <w:tcW w:w="1710" w:type="dxa"/>
          </w:tcPr>
          <w:p w14:paraId="04E25A68"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774</w:t>
            </w:r>
          </w:p>
        </w:tc>
        <w:tc>
          <w:tcPr>
            <w:tcW w:w="1666" w:type="dxa"/>
          </w:tcPr>
          <w:p w14:paraId="7AB302D2"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-18.5%</w:t>
            </w:r>
          </w:p>
        </w:tc>
      </w:tr>
      <w:tr w:rsidR="004424FD" w:rsidRPr="004424FD" w14:paraId="4A8DD8A9" w14:textId="77777777" w:rsidTr="004424FD">
        <w:tc>
          <w:tcPr>
            <w:tcW w:w="4089" w:type="dxa"/>
          </w:tcPr>
          <w:p w14:paraId="11E154BB" w14:textId="77777777" w:rsidR="004424FD" w:rsidRPr="004424FD" w:rsidRDefault="004424FD" w:rsidP="00791630">
            <w:r w:rsidRPr="004424FD">
              <w:t>Technical/Para-Professional</w:t>
            </w:r>
          </w:p>
        </w:tc>
        <w:tc>
          <w:tcPr>
            <w:tcW w:w="1800" w:type="dxa"/>
          </w:tcPr>
          <w:p w14:paraId="0C7C383E"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432</w:t>
            </w:r>
          </w:p>
        </w:tc>
        <w:tc>
          <w:tcPr>
            <w:tcW w:w="1710" w:type="dxa"/>
          </w:tcPr>
          <w:p w14:paraId="14865FBE"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487</w:t>
            </w:r>
          </w:p>
        </w:tc>
        <w:tc>
          <w:tcPr>
            <w:tcW w:w="1666" w:type="dxa"/>
          </w:tcPr>
          <w:p w14:paraId="0213BEDD"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+ 12.7%</w:t>
            </w:r>
          </w:p>
        </w:tc>
      </w:tr>
      <w:tr w:rsidR="004424FD" w:rsidRPr="004424FD" w14:paraId="0FF939A9" w14:textId="77777777" w:rsidTr="004424FD">
        <w:tc>
          <w:tcPr>
            <w:tcW w:w="4089" w:type="dxa"/>
          </w:tcPr>
          <w:p w14:paraId="3EBDA3F6" w14:textId="77777777" w:rsidR="004424FD" w:rsidRPr="004424FD" w:rsidRDefault="004424FD" w:rsidP="00791630">
            <w:r w:rsidRPr="004424FD">
              <w:t>Skilled craft</w:t>
            </w:r>
          </w:p>
        </w:tc>
        <w:tc>
          <w:tcPr>
            <w:tcW w:w="1800" w:type="dxa"/>
          </w:tcPr>
          <w:p w14:paraId="0C47F9AC"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186</w:t>
            </w:r>
          </w:p>
        </w:tc>
        <w:tc>
          <w:tcPr>
            <w:tcW w:w="1710" w:type="dxa"/>
          </w:tcPr>
          <w:p w14:paraId="40420524"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160</w:t>
            </w:r>
          </w:p>
        </w:tc>
        <w:tc>
          <w:tcPr>
            <w:tcW w:w="1666" w:type="dxa"/>
          </w:tcPr>
          <w:p w14:paraId="3FCBFEC2"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-14.0%</w:t>
            </w:r>
          </w:p>
        </w:tc>
        <w:bookmarkStart w:id="0" w:name="_GoBack"/>
        <w:bookmarkEnd w:id="0"/>
      </w:tr>
      <w:tr w:rsidR="004424FD" w:rsidRPr="004424FD" w14:paraId="2336A2D4" w14:textId="77777777" w:rsidTr="004424FD">
        <w:tc>
          <w:tcPr>
            <w:tcW w:w="4089" w:type="dxa"/>
          </w:tcPr>
          <w:p w14:paraId="6725D26C" w14:textId="77777777" w:rsidR="004424FD" w:rsidRPr="004424FD" w:rsidRDefault="004424FD" w:rsidP="00791630">
            <w:r w:rsidRPr="004424FD">
              <w:t>Service/Maintenance</w:t>
            </w:r>
          </w:p>
        </w:tc>
        <w:tc>
          <w:tcPr>
            <w:tcW w:w="1800" w:type="dxa"/>
          </w:tcPr>
          <w:p w14:paraId="310664C2"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476</w:t>
            </w:r>
          </w:p>
        </w:tc>
        <w:tc>
          <w:tcPr>
            <w:tcW w:w="1710" w:type="dxa"/>
          </w:tcPr>
          <w:p w14:paraId="5D54330D"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426</w:t>
            </w:r>
          </w:p>
        </w:tc>
        <w:tc>
          <w:tcPr>
            <w:tcW w:w="1666" w:type="dxa"/>
          </w:tcPr>
          <w:p w14:paraId="02376BFE"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-10.5%</w:t>
            </w:r>
          </w:p>
        </w:tc>
      </w:tr>
      <w:tr w:rsidR="004424FD" w:rsidRPr="004424FD" w14:paraId="35556A14" w14:textId="77777777" w:rsidTr="004424FD">
        <w:tc>
          <w:tcPr>
            <w:tcW w:w="4089" w:type="dxa"/>
          </w:tcPr>
          <w:p w14:paraId="0211514D" w14:textId="77777777" w:rsidR="004424FD" w:rsidRPr="004424FD" w:rsidRDefault="004424FD" w:rsidP="00791630">
            <w:r w:rsidRPr="004424FD">
              <w:t>Faculty/staff total</w:t>
            </w:r>
          </w:p>
        </w:tc>
        <w:tc>
          <w:tcPr>
            <w:tcW w:w="1800" w:type="dxa"/>
          </w:tcPr>
          <w:p w14:paraId="6D689684"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5335</w:t>
            </w:r>
          </w:p>
        </w:tc>
        <w:tc>
          <w:tcPr>
            <w:tcW w:w="1710" w:type="dxa"/>
          </w:tcPr>
          <w:p w14:paraId="606331DA"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4,795</w:t>
            </w:r>
          </w:p>
        </w:tc>
        <w:tc>
          <w:tcPr>
            <w:tcW w:w="1666" w:type="dxa"/>
          </w:tcPr>
          <w:p w14:paraId="587C5854"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-10.1%</w:t>
            </w:r>
          </w:p>
        </w:tc>
      </w:tr>
      <w:tr w:rsidR="004424FD" w:rsidRPr="004424FD" w14:paraId="001A681A" w14:textId="77777777" w:rsidTr="004424FD">
        <w:tc>
          <w:tcPr>
            <w:tcW w:w="4089" w:type="dxa"/>
          </w:tcPr>
          <w:p w14:paraId="28D359C2" w14:textId="77777777" w:rsidR="004424FD" w:rsidRPr="004424FD" w:rsidRDefault="004424FD" w:rsidP="00791630">
            <w:r w:rsidRPr="004424FD">
              <w:t>GA’s</w:t>
            </w:r>
          </w:p>
        </w:tc>
        <w:tc>
          <w:tcPr>
            <w:tcW w:w="1800" w:type="dxa"/>
          </w:tcPr>
          <w:p w14:paraId="4F272ECF"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1655</w:t>
            </w:r>
          </w:p>
        </w:tc>
        <w:tc>
          <w:tcPr>
            <w:tcW w:w="1710" w:type="dxa"/>
          </w:tcPr>
          <w:p w14:paraId="2D3B920B"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1,224</w:t>
            </w:r>
          </w:p>
        </w:tc>
        <w:tc>
          <w:tcPr>
            <w:tcW w:w="1666" w:type="dxa"/>
          </w:tcPr>
          <w:p w14:paraId="615E777A" w14:textId="77777777" w:rsidR="004424FD" w:rsidRPr="004424FD" w:rsidRDefault="004424FD" w:rsidP="00791630">
            <w:pPr>
              <w:rPr>
                <w:rFonts w:eastAsia="Times New Roman" w:cs="Times New Roman"/>
                <w:color w:val="000000"/>
              </w:rPr>
            </w:pPr>
            <w:r w:rsidRPr="004424FD">
              <w:rPr>
                <w:rFonts w:eastAsia="Times New Roman" w:cs="Times New Roman"/>
                <w:color w:val="000000"/>
              </w:rPr>
              <w:t>-26.0%</w:t>
            </w:r>
          </w:p>
        </w:tc>
      </w:tr>
    </w:tbl>
    <w:p w14:paraId="10186CB0" w14:textId="77777777" w:rsidR="004424FD" w:rsidRPr="004424FD" w:rsidRDefault="004424FD" w:rsidP="004424FD"/>
    <w:p w14:paraId="140E5B1B" w14:textId="77777777" w:rsidR="004424FD" w:rsidRPr="004424FD" w:rsidRDefault="004424FD" w:rsidP="004424FD">
      <w:pPr>
        <w:rPr>
          <w:sz w:val="22"/>
          <w:szCs w:val="22"/>
        </w:rPr>
      </w:pPr>
      <w:r w:rsidRPr="0057202E">
        <w:rPr>
          <w:rFonts w:eastAsia="Times New Roman" w:cs="Times New Roman"/>
          <w:color w:val="000000"/>
          <w:sz w:val="22"/>
          <w:szCs w:val="22"/>
        </w:rPr>
        <w:t xml:space="preserve">Notes: These figures include medical school </w:t>
      </w:r>
      <w:r w:rsidRPr="004424FD">
        <w:rPr>
          <w:rFonts w:eastAsia="Times New Roman" w:cs="Times New Roman"/>
          <w:color w:val="000000"/>
          <w:sz w:val="22"/>
          <w:szCs w:val="22"/>
        </w:rPr>
        <w:t xml:space="preserve">staff </w:t>
      </w:r>
      <w:r w:rsidRPr="0057202E">
        <w:rPr>
          <w:rFonts w:eastAsia="Times New Roman" w:cs="Times New Roman"/>
          <w:color w:val="000000"/>
          <w:sz w:val="22"/>
          <w:szCs w:val="22"/>
        </w:rPr>
        <w:t>(Springfield as well as Carbondale). </w:t>
      </w:r>
      <w:r w:rsidRPr="004424FD">
        <w:rPr>
          <w:rFonts w:eastAsia="Times New Roman" w:cs="Times New Roman"/>
          <w:color w:val="000000"/>
          <w:sz w:val="22"/>
          <w:szCs w:val="22"/>
        </w:rPr>
        <w:t xml:space="preserve">The </w:t>
      </w:r>
      <w:r w:rsidRPr="0057202E">
        <w:rPr>
          <w:rFonts w:eastAsia="Times New Roman" w:cs="Times New Roman"/>
          <w:color w:val="000000"/>
          <w:sz w:val="22"/>
          <w:szCs w:val="22"/>
        </w:rPr>
        <w:t xml:space="preserve">figures for "executive civil service" employees </w:t>
      </w:r>
      <w:r w:rsidRPr="004424FD">
        <w:rPr>
          <w:rFonts w:eastAsia="Times New Roman" w:cs="Times New Roman"/>
          <w:color w:val="000000"/>
          <w:sz w:val="22"/>
          <w:szCs w:val="22"/>
        </w:rPr>
        <w:t xml:space="preserve">are omitted </w:t>
      </w:r>
      <w:r w:rsidRPr="0057202E">
        <w:rPr>
          <w:rFonts w:eastAsia="Times New Roman" w:cs="Times New Roman"/>
          <w:color w:val="000000"/>
          <w:sz w:val="22"/>
          <w:szCs w:val="22"/>
        </w:rPr>
        <w:t xml:space="preserve">as that category seems to have been defined away between 2010 (when there were 57 people in this category) to 2011 (zero). Their figures are however included in the overall totals for faculty and staff. </w:t>
      </w:r>
      <w:r>
        <w:rPr>
          <w:rFonts w:eastAsia="Times New Roman" w:cs="Times New Roman"/>
          <w:color w:val="000000"/>
          <w:sz w:val="22"/>
          <w:szCs w:val="22"/>
        </w:rPr>
        <w:t xml:space="preserve">Figures for TT and NTT are for full-time faculty. All </w:t>
      </w:r>
      <w:r>
        <w:rPr>
          <w:sz w:val="22"/>
          <w:szCs w:val="22"/>
        </w:rPr>
        <w:t>f</w:t>
      </w:r>
      <w:r w:rsidRPr="004424FD">
        <w:rPr>
          <w:sz w:val="22"/>
          <w:szCs w:val="22"/>
        </w:rPr>
        <w:t xml:space="preserve">igures from </w:t>
      </w:r>
      <w:hyperlink r:id="rId5" w:history="1">
        <w:proofErr w:type="spellStart"/>
        <w:r w:rsidRPr="004424FD">
          <w:rPr>
            <w:rStyle w:val="Hyperlink"/>
            <w:sz w:val="22"/>
            <w:szCs w:val="22"/>
          </w:rPr>
          <w:t>www.irs.siu.edu</w:t>
        </w:r>
        <w:proofErr w:type="spellEnd"/>
      </w:hyperlink>
      <w:r w:rsidRPr="004424FD">
        <w:rPr>
          <w:rStyle w:val="Hyperlink"/>
          <w:sz w:val="22"/>
          <w:szCs w:val="22"/>
        </w:rPr>
        <w:t>.</w:t>
      </w:r>
    </w:p>
    <w:p w14:paraId="05C9E160" w14:textId="77777777" w:rsidR="004424FD" w:rsidRPr="004424FD" w:rsidRDefault="004424FD" w:rsidP="004424FD">
      <w:pPr>
        <w:rPr>
          <w:rFonts w:eastAsia="Times New Roman" w:cs="Times New Roman"/>
          <w:color w:val="000000"/>
          <w:sz w:val="21"/>
          <w:szCs w:val="21"/>
        </w:rPr>
      </w:pPr>
    </w:p>
    <w:p w14:paraId="2CD7DF3F" w14:textId="77777777" w:rsidR="004424FD" w:rsidRPr="004424FD" w:rsidRDefault="004424FD" w:rsidP="004424FD">
      <w:pPr>
        <w:rPr>
          <w:rFonts w:eastAsia="Times New Roman" w:cs="Times New Roman"/>
          <w:b/>
          <w:color w:val="000000"/>
        </w:rPr>
      </w:pPr>
      <w:r w:rsidRPr="004424FD">
        <w:rPr>
          <w:rFonts w:eastAsia="Times New Roman" w:cs="Times New Roman"/>
          <w:b/>
          <w:color w:val="000000"/>
        </w:rPr>
        <w:t>Observations</w:t>
      </w:r>
    </w:p>
    <w:p w14:paraId="709C48D6" w14:textId="77777777" w:rsidR="004424FD" w:rsidRPr="004424FD" w:rsidRDefault="004424FD" w:rsidP="004424FD">
      <w:pPr>
        <w:rPr>
          <w:rFonts w:eastAsia="Times New Roman" w:cs="Times New Roman"/>
          <w:color w:val="000000"/>
        </w:rPr>
      </w:pPr>
    </w:p>
    <w:p w14:paraId="075D2F77" w14:textId="23F2CD6B" w:rsidR="00C14F2F" w:rsidRDefault="00C14F2F" w:rsidP="004424FD">
      <w:pPr>
        <w:pStyle w:val="ListParagraph"/>
        <w:numPr>
          <w:ilvl w:val="0"/>
          <w:numId w:val="1"/>
        </w:numPr>
        <w:rPr>
          <w:noProof/>
        </w:rPr>
      </w:pPr>
      <w:r>
        <w:rPr>
          <w:noProof/>
        </w:rPr>
        <w:t xml:space="preserve">Almost all of these figures are moving in the wrong direction, but some are moving more quickly than others. </w:t>
      </w:r>
    </w:p>
    <w:p w14:paraId="1CF2A6B9" w14:textId="77777777" w:rsidR="00C14F2F" w:rsidRDefault="00C14F2F" w:rsidP="00C14F2F">
      <w:pPr>
        <w:rPr>
          <w:noProof/>
        </w:rPr>
      </w:pPr>
    </w:p>
    <w:p w14:paraId="36A31AB3" w14:textId="45A34B16" w:rsidR="004424FD" w:rsidRPr="004424FD" w:rsidRDefault="004424FD" w:rsidP="004424FD">
      <w:pPr>
        <w:pStyle w:val="ListParagraph"/>
        <w:numPr>
          <w:ilvl w:val="0"/>
          <w:numId w:val="1"/>
        </w:numPr>
        <w:rPr>
          <w:noProof/>
        </w:rPr>
      </w:pPr>
      <w:r w:rsidRPr="004424FD">
        <w:rPr>
          <w:noProof/>
        </w:rPr>
        <w:t>The only staff category to decline more rapidly than student enrollment (</w:t>
      </w:r>
      <w:r w:rsidR="00E71AFC">
        <w:rPr>
          <w:noProof/>
        </w:rPr>
        <w:t>-</w:t>
      </w:r>
      <w:r w:rsidRPr="004424FD">
        <w:rPr>
          <w:noProof/>
        </w:rPr>
        <w:t xml:space="preserve">23.8%) </w:t>
      </w:r>
      <w:r w:rsidR="00C14F2F">
        <w:rPr>
          <w:noProof/>
        </w:rPr>
        <w:t>is</w:t>
      </w:r>
      <w:r w:rsidRPr="004424FD">
        <w:rPr>
          <w:noProof/>
        </w:rPr>
        <w:t xml:space="preserve"> GA’s (</w:t>
      </w:r>
      <w:r w:rsidR="00E71AFC">
        <w:rPr>
          <w:noProof/>
        </w:rPr>
        <w:t>-</w:t>
      </w:r>
      <w:r w:rsidRPr="004424FD">
        <w:rPr>
          <w:noProof/>
        </w:rPr>
        <w:t xml:space="preserve">26.0%). </w:t>
      </w:r>
    </w:p>
    <w:p w14:paraId="2A4420AB" w14:textId="77777777" w:rsidR="004424FD" w:rsidRPr="004424FD" w:rsidRDefault="004424FD">
      <w:pPr>
        <w:rPr>
          <w:noProof/>
        </w:rPr>
      </w:pPr>
    </w:p>
    <w:p w14:paraId="12A5F938" w14:textId="77777777" w:rsidR="004424FD" w:rsidRPr="004424FD" w:rsidRDefault="004424FD" w:rsidP="004424FD">
      <w:pPr>
        <w:pStyle w:val="ListParagraph"/>
        <w:numPr>
          <w:ilvl w:val="0"/>
          <w:numId w:val="1"/>
        </w:numPr>
        <w:rPr>
          <w:noProof/>
        </w:rPr>
      </w:pPr>
      <w:r w:rsidRPr="004424FD">
        <w:rPr>
          <w:noProof/>
        </w:rPr>
        <w:t>TT faculty (-21%) have essentially declined as quickly as student enrollment.</w:t>
      </w:r>
    </w:p>
    <w:p w14:paraId="04569C8F" w14:textId="77777777" w:rsidR="004424FD" w:rsidRPr="004424FD" w:rsidRDefault="004424FD">
      <w:pPr>
        <w:rPr>
          <w:noProof/>
        </w:rPr>
      </w:pPr>
    </w:p>
    <w:p w14:paraId="443104CC" w14:textId="3CE2851E" w:rsidR="004424FD" w:rsidRPr="004424FD" w:rsidRDefault="004424FD" w:rsidP="00C14F2F">
      <w:pPr>
        <w:pStyle w:val="ListParagraph"/>
        <w:numPr>
          <w:ilvl w:val="0"/>
          <w:numId w:val="1"/>
        </w:numPr>
        <w:rPr>
          <w:noProof/>
        </w:rPr>
      </w:pPr>
      <w:r w:rsidRPr="004424FD">
        <w:rPr>
          <w:noProof/>
        </w:rPr>
        <w:t>Top administrative posts have declined much more slowly (</w:t>
      </w:r>
      <w:r w:rsidR="00E71AFC">
        <w:rPr>
          <w:noProof/>
        </w:rPr>
        <w:t>-</w:t>
      </w:r>
      <w:r w:rsidRPr="004424FD">
        <w:rPr>
          <w:noProof/>
        </w:rPr>
        <w:t>6.7%), as have professional non-faculty (</w:t>
      </w:r>
      <w:r w:rsidR="00E71AFC">
        <w:rPr>
          <w:noProof/>
        </w:rPr>
        <w:t>-</w:t>
      </w:r>
      <w:r w:rsidRPr="004424FD">
        <w:rPr>
          <w:noProof/>
        </w:rPr>
        <w:t xml:space="preserve">3.0%). </w:t>
      </w:r>
    </w:p>
    <w:p w14:paraId="2791D649" w14:textId="77777777" w:rsidR="004424FD" w:rsidRPr="004424FD" w:rsidRDefault="004424FD">
      <w:pPr>
        <w:rPr>
          <w:noProof/>
        </w:rPr>
      </w:pPr>
      <w:r w:rsidRPr="004424FD">
        <w:rPr>
          <w:noProof/>
        </w:rPr>
        <w:br w:type="page"/>
      </w:r>
    </w:p>
    <w:p w14:paraId="20D66FA2" w14:textId="77777777" w:rsidR="00EB5222" w:rsidRPr="004424FD" w:rsidRDefault="004424FD">
      <w:r w:rsidRPr="004424FD">
        <w:rPr>
          <w:noProof/>
        </w:rPr>
        <w:lastRenderedPageBreak/>
        <w:drawing>
          <wp:inline distT="0" distB="0" distL="0" distR="0" wp14:anchorId="28ACA2D7" wp14:editId="01EFD253">
            <wp:extent cx="7976870" cy="59436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sectPr w:rsidR="00EB5222" w:rsidRPr="004424FD" w:rsidSect="004424FD">
      <w:pgSz w:w="15840" w:h="12240" w:orient="landscape"/>
      <w:pgMar w:top="1440" w:right="1440" w:bottom="1440" w:left="1440" w:header="720" w:footer="720" w:gutter="0"/>
      <w:cols w:space="720"/>
      <w:docGrid w:linePitch="360"/>
      <w:printerSettings r:id="rId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Skia">
    <w:panose1 w:val="020D050202020402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345BB0"/>
    <w:multiLevelType w:val="hybridMultilevel"/>
    <w:tmpl w:val="5DE0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removePersonalInformation/>
  <w:removeDateAndTime/>
  <w:proofState w:spelling="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4FD"/>
    <w:rsid w:val="00020D05"/>
    <w:rsid w:val="00101C56"/>
    <w:rsid w:val="00104D96"/>
    <w:rsid w:val="00125E00"/>
    <w:rsid w:val="00185E97"/>
    <w:rsid w:val="001B2120"/>
    <w:rsid w:val="002A2F77"/>
    <w:rsid w:val="003C3CAA"/>
    <w:rsid w:val="004424FD"/>
    <w:rsid w:val="004D4518"/>
    <w:rsid w:val="0054215D"/>
    <w:rsid w:val="0057285A"/>
    <w:rsid w:val="005923C8"/>
    <w:rsid w:val="00672609"/>
    <w:rsid w:val="006E6B41"/>
    <w:rsid w:val="0072206D"/>
    <w:rsid w:val="00976000"/>
    <w:rsid w:val="009909F5"/>
    <w:rsid w:val="00996599"/>
    <w:rsid w:val="009F5210"/>
    <w:rsid w:val="00B8200C"/>
    <w:rsid w:val="00C14F2F"/>
    <w:rsid w:val="00C60772"/>
    <w:rsid w:val="00D928C4"/>
    <w:rsid w:val="00DA7D83"/>
    <w:rsid w:val="00E63913"/>
    <w:rsid w:val="00E71AF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CF50D7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7D8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DA7D8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A7D83"/>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DA7D83"/>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b">
    <w:name w:val="sb"/>
    <w:aliases w:val="skia bib"/>
    <w:basedOn w:val="Normal"/>
    <w:autoRedefine/>
    <w:rsid w:val="00DA7D83"/>
    <w:pPr>
      <w:spacing w:before="120" w:after="120" w:line="360" w:lineRule="auto"/>
      <w:ind w:left="720" w:hanging="720"/>
    </w:pPr>
    <w:rPr>
      <w:rFonts w:ascii="Skia" w:eastAsia="Cambria" w:hAnsi="Skia" w:cs="Times New Roman"/>
      <w:szCs w:val="20"/>
    </w:rPr>
  </w:style>
  <w:style w:type="paragraph" w:customStyle="1" w:styleId="sd">
    <w:name w:val="sd"/>
    <w:aliases w:val="skia draft"/>
    <w:basedOn w:val="Normal"/>
    <w:rsid w:val="00DA7D83"/>
    <w:pPr>
      <w:spacing w:before="160" w:after="160" w:line="360" w:lineRule="auto"/>
      <w:ind w:firstLine="720"/>
    </w:pPr>
    <w:rPr>
      <w:rFonts w:ascii="Skia" w:eastAsia="Cambria" w:hAnsi="Skia" w:cs="Times New Roman"/>
      <w:szCs w:val="20"/>
    </w:rPr>
  </w:style>
  <w:style w:type="paragraph" w:customStyle="1" w:styleId="sh1">
    <w:name w:val="sh1"/>
    <w:aliases w:val="skia heading 1"/>
    <w:basedOn w:val="Heading1"/>
    <w:next w:val="sd"/>
    <w:qFormat/>
    <w:rsid w:val="00DA7D83"/>
    <w:pPr>
      <w:keepLines w:val="0"/>
      <w:pBdr>
        <w:bottom w:val="single" w:sz="8" w:space="1" w:color="auto"/>
      </w:pBdr>
      <w:spacing w:after="60" w:line="360" w:lineRule="auto"/>
    </w:pPr>
    <w:rPr>
      <w:rFonts w:ascii="Skia" w:eastAsia="Cambria" w:hAnsi="Skia" w:cs="Times New Roman"/>
      <w:b/>
      <w:color w:val="auto"/>
      <w:kern w:val="32"/>
      <w:szCs w:val="20"/>
    </w:rPr>
  </w:style>
  <w:style w:type="character" w:customStyle="1" w:styleId="Heading1Char">
    <w:name w:val="Heading 1 Char"/>
    <w:basedOn w:val="DefaultParagraphFont"/>
    <w:link w:val="Heading1"/>
    <w:uiPriority w:val="9"/>
    <w:rsid w:val="00DA7D83"/>
    <w:rPr>
      <w:rFonts w:asciiTheme="majorHAnsi" w:eastAsiaTheme="majorEastAsia" w:hAnsiTheme="majorHAnsi" w:cstheme="majorBidi"/>
      <w:color w:val="2F5496" w:themeColor="accent1" w:themeShade="BF"/>
      <w:sz w:val="32"/>
      <w:szCs w:val="32"/>
    </w:rPr>
  </w:style>
  <w:style w:type="paragraph" w:customStyle="1" w:styleId="sh2">
    <w:name w:val="sh2"/>
    <w:aliases w:val="skia heading 2"/>
    <w:basedOn w:val="Heading2"/>
    <w:next w:val="sd"/>
    <w:qFormat/>
    <w:rsid w:val="00DA7D83"/>
    <w:pPr>
      <w:keepLines w:val="0"/>
      <w:spacing w:before="240" w:after="60" w:line="360" w:lineRule="auto"/>
    </w:pPr>
    <w:rPr>
      <w:rFonts w:ascii="Skia" w:eastAsia="Cambria" w:hAnsi="Skia" w:cs="Times New Roman"/>
      <w:b/>
      <w:color w:val="auto"/>
      <w:kern w:val="28"/>
      <w:sz w:val="28"/>
      <w:szCs w:val="20"/>
    </w:rPr>
  </w:style>
  <w:style w:type="character" w:customStyle="1" w:styleId="Heading2Char">
    <w:name w:val="Heading 2 Char"/>
    <w:basedOn w:val="DefaultParagraphFont"/>
    <w:link w:val="Heading2"/>
    <w:uiPriority w:val="9"/>
    <w:semiHidden/>
    <w:rsid w:val="00DA7D83"/>
    <w:rPr>
      <w:rFonts w:asciiTheme="majorHAnsi" w:eastAsiaTheme="majorEastAsia" w:hAnsiTheme="majorHAnsi" w:cstheme="majorBidi"/>
      <w:color w:val="2F5496" w:themeColor="accent1" w:themeShade="BF"/>
      <w:sz w:val="26"/>
      <w:szCs w:val="26"/>
    </w:rPr>
  </w:style>
  <w:style w:type="paragraph" w:customStyle="1" w:styleId="sh3">
    <w:name w:val="sh3"/>
    <w:aliases w:val="skia heading 3"/>
    <w:basedOn w:val="Heading3"/>
    <w:next w:val="Normal"/>
    <w:qFormat/>
    <w:rsid w:val="00DA7D83"/>
    <w:pPr>
      <w:keepLines w:val="0"/>
      <w:spacing w:before="240" w:after="60" w:line="360" w:lineRule="auto"/>
    </w:pPr>
    <w:rPr>
      <w:rFonts w:ascii="Skia" w:eastAsia="Cambria" w:hAnsi="Skia" w:cs="Times New Roman"/>
      <w:b/>
      <w:color w:val="auto"/>
      <w:sz w:val="26"/>
      <w:szCs w:val="20"/>
    </w:rPr>
  </w:style>
  <w:style w:type="character" w:customStyle="1" w:styleId="Heading3Char">
    <w:name w:val="Heading 3 Char"/>
    <w:basedOn w:val="DefaultParagraphFont"/>
    <w:link w:val="Heading3"/>
    <w:uiPriority w:val="9"/>
    <w:semiHidden/>
    <w:rsid w:val="00DA7D83"/>
    <w:rPr>
      <w:rFonts w:asciiTheme="majorHAnsi" w:eastAsiaTheme="majorEastAsia" w:hAnsiTheme="majorHAnsi" w:cstheme="majorBidi"/>
      <w:color w:val="1F3763" w:themeColor="accent1" w:themeShade="7F"/>
    </w:rPr>
  </w:style>
  <w:style w:type="paragraph" w:customStyle="1" w:styleId="sh4">
    <w:name w:val="sh4"/>
    <w:aliases w:val="skia heading 4"/>
    <w:basedOn w:val="Heading4"/>
    <w:rsid w:val="00DA7D83"/>
    <w:pPr>
      <w:keepLines w:val="0"/>
      <w:spacing w:before="240" w:after="60" w:line="360" w:lineRule="auto"/>
    </w:pPr>
    <w:rPr>
      <w:rFonts w:ascii="Skia" w:eastAsia="Cambria" w:hAnsi="Skia" w:cs="Times New Roman"/>
      <w:b/>
      <w:i w:val="0"/>
      <w:iCs w:val="0"/>
      <w:color w:val="auto"/>
      <w:kern w:val="28"/>
      <w:szCs w:val="20"/>
    </w:rPr>
  </w:style>
  <w:style w:type="character" w:customStyle="1" w:styleId="Heading4Char">
    <w:name w:val="Heading 4 Char"/>
    <w:basedOn w:val="DefaultParagraphFont"/>
    <w:link w:val="Heading4"/>
    <w:uiPriority w:val="9"/>
    <w:semiHidden/>
    <w:rsid w:val="00DA7D83"/>
    <w:rPr>
      <w:rFonts w:asciiTheme="majorHAnsi" w:eastAsiaTheme="majorEastAsia" w:hAnsiTheme="majorHAnsi" w:cstheme="majorBidi"/>
      <w:i/>
      <w:iCs/>
      <w:color w:val="2F5496" w:themeColor="accent1" w:themeShade="BF"/>
    </w:rPr>
  </w:style>
  <w:style w:type="paragraph" w:customStyle="1" w:styleId="si">
    <w:name w:val="si"/>
    <w:aliases w:val="skia indent"/>
    <w:basedOn w:val="Normal"/>
    <w:next w:val="Normal"/>
    <w:rsid w:val="00DA7D83"/>
    <w:pPr>
      <w:spacing w:before="120" w:after="120" w:line="280" w:lineRule="atLeast"/>
      <w:ind w:left="288"/>
    </w:pPr>
    <w:rPr>
      <w:rFonts w:ascii="Skia" w:eastAsia="Cambria" w:hAnsi="Skia" w:cs="Times New Roman"/>
      <w:szCs w:val="20"/>
    </w:rPr>
  </w:style>
  <w:style w:type="paragraph" w:customStyle="1" w:styleId="skiafn">
    <w:name w:val="skia fn"/>
    <w:aliases w:val="sf"/>
    <w:basedOn w:val="FootnoteText"/>
    <w:rsid w:val="00DA7D83"/>
    <w:pPr>
      <w:spacing w:line="360" w:lineRule="auto"/>
    </w:pPr>
    <w:rPr>
      <w:rFonts w:ascii="Skia" w:eastAsia="Times New Roman" w:hAnsi="Skia" w:cs="Times New Roman"/>
      <w:sz w:val="22"/>
      <w:szCs w:val="20"/>
    </w:rPr>
  </w:style>
  <w:style w:type="paragraph" w:styleId="FootnoteText">
    <w:name w:val="footnote text"/>
    <w:basedOn w:val="Normal"/>
    <w:link w:val="FootnoteTextChar"/>
    <w:uiPriority w:val="99"/>
    <w:semiHidden/>
    <w:unhideWhenUsed/>
    <w:rsid w:val="00DA7D83"/>
  </w:style>
  <w:style w:type="character" w:customStyle="1" w:styleId="FootnoteTextChar">
    <w:name w:val="Footnote Text Char"/>
    <w:basedOn w:val="DefaultParagraphFont"/>
    <w:link w:val="FootnoteText"/>
    <w:uiPriority w:val="99"/>
    <w:semiHidden/>
    <w:rsid w:val="00DA7D83"/>
  </w:style>
  <w:style w:type="paragraph" w:customStyle="1" w:styleId="sni">
    <w:name w:val="sni"/>
    <w:aliases w:val="skia no indent"/>
    <w:basedOn w:val="sd"/>
    <w:rsid w:val="00DA7D83"/>
    <w:pPr>
      <w:ind w:firstLine="0"/>
    </w:pPr>
  </w:style>
  <w:style w:type="paragraph" w:styleId="DocumentMap">
    <w:name w:val="Document Map"/>
    <w:basedOn w:val="Normal"/>
    <w:link w:val="DocumentMapChar"/>
    <w:uiPriority w:val="99"/>
    <w:semiHidden/>
    <w:unhideWhenUsed/>
    <w:rsid w:val="003C3CAA"/>
    <w:rPr>
      <w:rFonts w:ascii="Skia" w:hAnsi="Skia" w:cs="Times New Roman"/>
      <w:sz w:val="22"/>
    </w:rPr>
  </w:style>
  <w:style w:type="character" w:customStyle="1" w:styleId="DocumentMapChar">
    <w:name w:val="Document Map Char"/>
    <w:basedOn w:val="DefaultParagraphFont"/>
    <w:link w:val="DocumentMap"/>
    <w:uiPriority w:val="99"/>
    <w:semiHidden/>
    <w:rsid w:val="003C3CAA"/>
    <w:rPr>
      <w:rFonts w:ascii="Skia" w:hAnsi="Skia" w:cs="Times New Roman"/>
      <w:sz w:val="22"/>
    </w:rPr>
  </w:style>
  <w:style w:type="character" w:styleId="Hyperlink">
    <w:name w:val="Hyperlink"/>
    <w:basedOn w:val="DefaultParagraphFont"/>
    <w:uiPriority w:val="99"/>
    <w:unhideWhenUsed/>
    <w:rsid w:val="004424FD"/>
    <w:rPr>
      <w:color w:val="0563C1" w:themeColor="hyperlink"/>
      <w:u w:val="single"/>
    </w:rPr>
  </w:style>
  <w:style w:type="table" w:styleId="TableGrid">
    <w:name w:val="Table Grid"/>
    <w:basedOn w:val="TableNormal"/>
    <w:uiPriority w:val="39"/>
    <w:rsid w:val="004424F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424FD"/>
    <w:rPr>
      <w:color w:val="954F72" w:themeColor="followedHyperlink"/>
      <w:u w:val="single"/>
    </w:rPr>
  </w:style>
  <w:style w:type="paragraph" w:styleId="ListParagraph">
    <w:name w:val="List Paragraph"/>
    <w:basedOn w:val="Normal"/>
    <w:uiPriority w:val="34"/>
    <w:qFormat/>
    <w:rsid w:val="004424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irs.siu.edu" TargetMode="External"/><Relationship Id="rId6" Type="http://schemas.openxmlformats.org/officeDocument/2006/relationships/chart" Target="charts/chart1.xml"/><Relationship Id="rId7" Type="http://schemas.openxmlformats.org/officeDocument/2006/relationships/printerSettings" Target="printerSettings/printerSettings1.bin"/><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microsoft.com/office/2011/relationships/chartStyle" Target="style1.xml"/><Relationship Id="rId2" Type="http://schemas.microsoft.com/office/2011/relationships/chartColorStyle" Target="colors1.xml"/><Relationship Id="rId3" Type="http://schemas.openxmlformats.org/officeDocument/2006/relationships/oleObject" Target="file:////Users/Dave/Dropbox/FA%20private/Budget/irs%20headcount%20fall%20201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US"/>
              <a:t>Changes</a:t>
            </a:r>
            <a:r>
              <a:rPr lang="en-US" baseline="0"/>
              <a:t> in select staff and student numbers, 2008-2016</a:t>
            </a:r>
            <a:br>
              <a:rPr lang="en-US" baseline="0"/>
            </a:br>
            <a:r>
              <a:rPr lang="en-US" baseline="0"/>
              <a:t>Data from </a:t>
            </a:r>
            <a:r>
              <a:rPr lang="en-US" i="1" baseline="0"/>
              <a:t>www.irs.siu.edu</a:t>
            </a:r>
          </a:p>
        </c:rich>
      </c:tx>
      <c:layout>
        <c:manualLayout>
          <c:xMode val="edge"/>
          <c:yMode val="edge"/>
          <c:x val="0.18665699782451"/>
          <c:y val="0.0244360902255639"/>
        </c:manualLayout>
      </c:layout>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plotArea>
      <c:layout/>
      <c:lineChart>
        <c:grouping val="standard"/>
        <c:varyColors val="0"/>
        <c:ser>
          <c:idx val="0"/>
          <c:order val="0"/>
          <c:tx>
            <c:strRef>
              <c:f>Sheet2!$A$2</c:f>
              <c:strCache>
                <c:ptCount val="1"/>
                <c:pt idx="0">
                  <c:v>TT</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cat>
            <c:numRef>
              <c:f>(Sheet2!$D$1,Sheet2!$F$1,Sheet2!$H$1,Sheet2!$J$1,Sheet2!$L$1,Sheet2!$N$1,Sheet2!$P$1,Sheet2!$R$1,Sheet2!$T$1)</c:f>
              <c:numCache>
                <c:formatCode>General</c:formatCode>
                <c:ptCount val="9"/>
                <c:pt idx="0">
                  <c:v>2008.0</c:v>
                </c:pt>
                <c:pt idx="1">
                  <c:v>2009.0</c:v>
                </c:pt>
                <c:pt idx="2">
                  <c:v>2010.0</c:v>
                </c:pt>
                <c:pt idx="3">
                  <c:v>2011.0</c:v>
                </c:pt>
                <c:pt idx="4">
                  <c:v>2012.0</c:v>
                </c:pt>
                <c:pt idx="5">
                  <c:v>2013.0</c:v>
                </c:pt>
                <c:pt idx="6">
                  <c:v>2014.0</c:v>
                </c:pt>
                <c:pt idx="7">
                  <c:v>2015.0</c:v>
                </c:pt>
                <c:pt idx="8">
                  <c:v>2016.0</c:v>
                </c:pt>
              </c:numCache>
            </c:numRef>
          </c:cat>
          <c:val>
            <c:numRef>
              <c:f>(Sheet2!$D$2,Sheet2!$F$2,Sheet2!$H$2,Sheet2!$J$2,Sheet2!$L$2,Sheet2!$N$2,Sheet2!$P$2,Sheet2!$R$2,Sheet2!$T$2)</c:f>
              <c:numCache>
                <c:formatCode>0.0%</c:formatCode>
                <c:ptCount val="9"/>
                <c:pt idx="0">
                  <c:v>0.0278113663845223</c:v>
                </c:pt>
                <c:pt idx="1">
                  <c:v>0.0399032648125757</c:v>
                </c:pt>
                <c:pt idx="2">
                  <c:v>0.0133010882708586</c:v>
                </c:pt>
                <c:pt idx="3">
                  <c:v>-0.0411124546553809</c:v>
                </c:pt>
                <c:pt idx="4">
                  <c:v>-0.114873035066505</c:v>
                </c:pt>
                <c:pt idx="5">
                  <c:v>-0.148730350665054</c:v>
                </c:pt>
                <c:pt idx="6">
                  <c:v>-0.18863361547763</c:v>
                </c:pt>
                <c:pt idx="7">
                  <c:v>-0.187424425634825</c:v>
                </c:pt>
                <c:pt idx="8">
                  <c:v>-0.210399032648126</c:v>
                </c:pt>
              </c:numCache>
            </c:numRef>
          </c:val>
          <c:smooth val="0"/>
        </c:ser>
        <c:ser>
          <c:idx val="1"/>
          <c:order val="1"/>
          <c:tx>
            <c:strRef>
              <c:f>Sheet2!$A$3</c:f>
              <c:strCache>
                <c:ptCount val="1"/>
                <c:pt idx="0">
                  <c:v>NTT</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cat>
            <c:numRef>
              <c:f>(Sheet2!$D$1,Sheet2!$F$1,Sheet2!$H$1,Sheet2!$J$1,Sheet2!$L$1,Sheet2!$N$1,Sheet2!$P$1,Sheet2!$R$1,Sheet2!$T$1)</c:f>
              <c:numCache>
                <c:formatCode>General</c:formatCode>
                <c:ptCount val="9"/>
                <c:pt idx="0">
                  <c:v>2008.0</c:v>
                </c:pt>
                <c:pt idx="1">
                  <c:v>2009.0</c:v>
                </c:pt>
                <c:pt idx="2">
                  <c:v>2010.0</c:v>
                </c:pt>
                <c:pt idx="3">
                  <c:v>2011.0</c:v>
                </c:pt>
                <c:pt idx="4">
                  <c:v>2012.0</c:v>
                </c:pt>
                <c:pt idx="5">
                  <c:v>2013.0</c:v>
                </c:pt>
                <c:pt idx="6">
                  <c:v>2014.0</c:v>
                </c:pt>
                <c:pt idx="7">
                  <c:v>2015.0</c:v>
                </c:pt>
                <c:pt idx="8">
                  <c:v>2016.0</c:v>
                </c:pt>
              </c:numCache>
            </c:numRef>
          </c:cat>
          <c:val>
            <c:numRef>
              <c:f>(Sheet2!$D$3,Sheet2!$F$3,Sheet2!$H$3,Sheet2!$J$3,Sheet2!$L$3,Sheet2!$N$3,Sheet2!$P$3,Sheet2!$R$3,Sheet2!$T$3)</c:f>
              <c:numCache>
                <c:formatCode>0.0%</c:formatCode>
                <c:ptCount val="9"/>
                <c:pt idx="0">
                  <c:v>0.00567107750472595</c:v>
                </c:pt>
                <c:pt idx="1">
                  <c:v>0.00567107750472595</c:v>
                </c:pt>
                <c:pt idx="2">
                  <c:v>-0.00945179584120981</c:v>
                </c:pt>
                <c:pt idx="3">
                  <c:v>0.0548204158790171</c:v>
                </c:pt>
                <c:pt idx="4">
                  <c:v>0.0529300567107751</c:v>
                </c:pt>
                <c:pt idx="5">
                  <c:v>-0.00378071833648397</c:v>
                </c:pt>
                <c:pt idx="6">
                  <c:v>0.0982986767485823</c:v>
                </c:pt>
                <c:pt idx="7">
                  <c:v>0.0226843100189036</c:v>
                </c:pt>
                <c:pt idx="8">
                  <c:v>-0.0982986767485823</c:v>
                </c:pt>
              </c:numCache>
            </c:numRef>
          </c:val>
          <c:smooth val="0"/>
        </c:ser>
        <c:ser>
          <c:idx val="2"/>
          <c:order val="2"/>
          <c:tx>
            <c:strRef>
              <c:f>Sheet2!$A$4</c:f>
              <c:strCache>
                <c:ptCount val="1"/>
                <c:pt idx="0">
                  <c:v>Administrative</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cat>
            <c:numRef>
              <c:f>(Sheet2!$D$1,Sheet2!$F$1,Sheet2!$H$1,Sheet2!$J$1,Sheet2!$L$1,Sheet2!$N$1,Sheet2!$P$1,Sheet2!$R$1,Sheet2!$T$1)</c:f>
              <c:numCache>
                <c:formatCode>General</c:formatCode>
                <c:ptCount val="9"/>
                <c:pt idx="0">
                  <c:v>2008.0</c:v>
                </c:pt>
                <c:pt idx="1">
                  <c:v>2009.0</c:v>
                </c:pt>
                <c:pt idx="2">
                  <c:v>2010.0</c:v>
                </c:pt>
                <c:pt idx="3">
                  <c:v>2011.0</c:v>
                </c:pt>
                <c:pt idx="4">
                  <c:v>2012.0</c:v>
                </c:pt>
                <c:pt idx="5">
                  <c:v>2013.0</c:v>
                </c:pt>
                <c:pt idx="6">
                  <c:v>2014.0</c:v>
                </c:pt>
                <c:pt idx="7">
                  <c:v>2015.0</c:v>
                </c:pt>
                <c:pt idx="8">
                  <c:v>2016.0</c:v>
                </c:pt>
              </c:numCache>
            </c:numRef>
          </c:cat>
          <c:val>
            <c:numRef>
              <c:f>(Sheet2!$D$4,Sheet2!$F$4,Sheet2!$H$4,Sheet2!$J$4,Sheet2!$L$4,Sheet2!$N$4,Sheet2!$P$4,Sheet2!$R$4,Sheet2!$T$4)</c:f>
              <c:numCache>
                <c:formatCode>0.0%</c:formatCode>
                <c:ptCount val="9"/>
                <c:pt idx="0">
                  <c:v>0.0142857142857142</c:v>
                </c:pt>
                <c:pt idx="1">
                  <c:v>0.0571428571428572</c:v>
                </c:pt>
                <c:pt idx="2">
                  <c:v>-0.00476190476190474</c:v>
                </c:pt>
                <c:pt idx="3">
                  <c:v>0.00952380952380949</c:v>
                </c:pt>
                <c:pt idx="4">
                  <c:v>-0.0238095238095238</c:v>
                </c:pt>
                <c:pt idx="5">
                  <c:v>-0.0380952380952381</c:v>
                </c:pt>
                <c:pt idx="6">
                  <c:v>-0.0238095238095238</c:v>
                </c:pt>
                <c:pt idx="7">
                  <c:v>-0.00476190476190474</c:v>
                </c:pt>
                <c:pt idx="8">
                  <c:v>-0.0666666666666666</c:v>
                </c:pt>
              </c:numCache>
            </c:numRef>
          </c:val>
          <c:smooth val="0"/>
        </c:ser>
        <c:ser>
          <c:idx val="3"/>
          <c:order val="3"/>
          <c:tx>
            <c:strRef>
              <c:f>Sheet2!$A$5</c:f>
              <c:strCache>
                <c:ptCount val="1"/>
                <c:pt idx="0">
                  <c:v>Professional Non-Faculty </c:v>
                </c:pt>
              </c:strCache>
            </c:strRef>
          </c:tx>
          <c:spPr>
            <a:ln w="34925" cap="rnd">
              <a:solidFill>
                <a:schemeClr val="accent4"/>
              </a:solidFill>
              <a:round/>
            </a:ln>
            <a:effectLst>
              <a:outerShdw blurRad="57150" dist="19050" dir="5400000" algn="ctr" rotWithShape="0">
                <a:srgbClr val="000000">
                  <a:alpha val="63000"/>
                </a:srgbClr>
              </a:outerShdw>
            </a:effectLst>
          </c:spPr>
          <c:marker>
            <c:symbol val="none"/>
          </c:marker>
          <c:cat>
            <c:numRef>
              <c:f>(Sheet2!$D$1,Sheet2!$F$1,Sheet2!$H$1,Sheet2!$J$1,Sheet2!$L$1,Sheet2!$N$1,Sheet2!$P$1,Sheet2!$R$1,Sheet2!$T$1)</c:f>
              <c:numCache>
                <c:formatCode>General</c:formatCode>
                <c:ptCount val="9"/>
                <c:pt idx="0">
                  <c:v>2008.0</c:v>
                </c:pt>
                <c:pt idx="1">
                  <c:v>2009.0</c:v>
                </c:pt>
                <c:pt idx="2">
                  <c:v>2010.0</c:v>
                </c:pt>
                <c:pt idx="3">
                  <c:v>2011.0</c:v>
                </c:pt>
                <c:pt idx="4">
                  <c:v>2012.0</c:v>
                </c:pt>
                <c:pt idx="5">
                  <c:v>2013.0</c:v>
                </c:pt>
                <c:pt idx="6">
                  <c:v>2014.0</c:v>
                </c:pt>
                <c:pt idx="7">
                  <c:v>2015.0</c:v>
                </c:pt>
                <c:pt idx="8">
                  <c:v>2016.0</c:v>
                </c:pt>
              </c:numCache>
            </c:numRef>
          </c:cat>
          <c:val>
            <c:numRef>
              <c:f>(Sheet2!$D$5,Sheet2!$F$5,Sheet2!$H$5,Sheet2!$J$5,Sheet2!$L$5,Sheet2!$N$5,Sheet2!$P$5,Sheet2!$R$5,Sheet2!$T$5)</c:f>
              <c:numCache>
                <c:formatCode>0.0%</c:formatCode>
                <c:ptCount val="9"/>
                <c:pt idx="0">
                  <c:v>0.0444444444444445</c:v>
                </c:pt>
                <c:pt idx="1">
                  <c:v>0.0840277777777778</c:v>
                </c:pt>
                <c:pt idx="2">
                  <c:v>0.0722222222222222</c:v>
                </c:pt>
                <c:pt idx="3">
                  <c:v>0.0680555555555555</c:v>
                </c:pt>
                <c:pt idx="4">
                  <c:v>0.0166666666666666</c:v>
                </c:pt>
                <c:pt idx="5">
                  <c:v>0.0277777777777777</c:v>
                </c:pt>
                <c:pt idx="6">
                  <c:v>0.0458333333333334</c:v>
                </c:pt>
                <c:pt idx="7">
                  <c:v>0.0430555555555556</c:v>
                </c:pt>
                <c:pt idx="8">
                  <c:v>-0.0298611111111111</c:v>
                </c:pt>
              </c:numCache>
            </c:numRef>
          </c:val>
          <c:smooth val="0"/>
        </c:ser>
        <c:ser>
          <c:idx val="4"/>
          <c:order val="4"/>
          <c:tx>
            <c:strRef>
              <c:f>Sheet2!$A$6</c:f>
              <c:strCache>
                <c:ptCount val="1"/>
                <c:pt idx="0">
                  <c:v>Clerical</c:v>
                </c:pt>
              </c:strCache>
            </c:strRef>
          </c:tx>
          <c:spPr>
            <a:ln w="34925" cap="rnd">
              <a:solidFill>
                <a:schemeClr val="accent5"/>
              </a:solidFill>
              <a:round/>
            </a:ln>
            <a:effectLst>
              <a:outerShdw blurRad="57150" dist="19050" dir="5400000" algn="ctr" rotWithShape="0">
                <a:srgbClr val="000000">
                  <a:alpha val="63000"/>
                </a:srgbClr>
              </a:outerShdw>
            </a:effectLst>
          </c:spPr>
          <c:marker>
            <c:symbol val="none"/>
          </c:marker>
          <c:cat>
            <c:numRef>
              <c:f>(Sheet2!$D$1,Sheet2!$F$1,Sheet2!$H$1,Sheet2!$J$1,Sheet2!$L$1,Sheet2!$N$1,Sheet2!$P$1,Sheet2!$R$1,Sheet2!$T$1)</c:f>
              <c:numCache>
                <c:formatCode>General</c:formatCode>
                <c:ptCount val="9"/>
                <c:pt idx="0">
                  <c:v>2008.0</c:v>
                </c:pt>
                <c:pt idx="1">
                  <c:v>2009.0</c:v>
                </c:pt>
                <c:pt idx="2">
                  <c:v>2010.0</c:v>
                </c:pt>
                <c:pt idx="3">
                  <c:v>2011.0</c:v>
                </c:pt>
                <c:pt idx="4">
                  <c:v>2012.0</c:v>
                </c:pt>
                <c:pt idx="5">
                  <c:v>2013.0</c:v>
                </c:pt>
                <c:pt idx="6">
                  <c:v>2014.0</c:v>
                </c:pt>
                <c:pt idx="7">
                  <c:v>2015.0</c:v>
                </c:pt>
                <c:pt idx="8">
                  <c:v>2016.0</c:v>
                </c:pt>
              </c:numCache>
            </c:numRef>
          </c:cat>
          <c:val>
            <c:numRef>
              <c:f>(Sheet2!$D$6,Sheet2!$F$6,Sheet2!$H$6,Sheet2!$J$6,Sheet2!$L$6,Sheet2!$N$6,Sheet2!$P$6,Sheet2!$R$6,Sheet2!$T$6)</c:f>
              <c:numCache>
                <c:formatCode>0.0%</c:formatCode>
                <c:ptCount val="9"/>
                <c:pt idx="0">
                  <c:v>0.0136842105263157</c:v>
                </c:pt>
                <c:pt idx="1">
                  <c:v>0.0242105263157895</c:v>
                </c:pt>
                <c:pt idx="2">
                  <c:v>-0.00842105263157899</c:v>
                </c:pt>
                <c:pt idx="3">
                  <c:v>-0.0168421052631579</c:v>
                </c:pt>
                <c:pt idx="4">
                  <c:v>-0.0726315789473684</c:v>
                </c:pt>
                <c:pt idx="5">
                  <c:v>-0.0905263157894737</c:v>
                </c:pt>
                <c:pt idx="6">
                  <c:v>-0.109473684210526</c:v>
                </c:pt>
                <c:pt idx="7">
                  <c:v>-0.117894736842105</c:v>
                </c:pt>
                <c:pt idx="8">
                  <c:v>-0.185263157894737</c:v>
                </c:pt>
              </c:numCache>
            </c:numRef>
          </c:val>
          <c:smooth val="0"/>
        </c:ser>
        <c:ser>
          <c:idx val="5"/>
          <c:order val="5"/>
          <c:tx>
            <c:strRef>
              <c:f>Sheet2!$A$7</c:f>
              <c:strCache>
                <c:ptCount val="1"/>
                <c:pt idx="0">
                  <c:v>GA</c:v>
                </c:pt>
              </c:strCache>
            </c:strRef>
          </c:tx>
          <c:spPr>
            <a:ln w="34925" cap="rnd">
              <a:solidFill>
                <a:schemeClr val="accent6"/>
              </a:solidFill>
              <a:round/>
            </a:ln>
            <a:effectLst>
              <a:outerShdw blurRad="57150" dist="19050" dir="5400000" algn="ctr" rotWithShape="0">
                <a:srgbClr val="000000">
                  <a:alpha val="63000"/>
                </a:srgbClr>
              </a:outerShdw>
            </a:effectLst>
          </c:spPr>
          <c:marker>
            <c:symbol val="none"/>
          </c:marker>
          <c:cat>
            <c:numRef>
              <c:f>(Sheet2!$D$1,Sheet2!$F$1,Sheet2!$H$1,Sheet2!$J$1,Sheet2!$L$1,Sheet2!$N$1,Sheet2!$P$1,Sheet2!$R$1,Sheet2!$T$1)</c:f>
              <c:numCache>
                <c:formatCode>General</c:formatCode>
                <c:ptCount val="9"/>
                <c:pt idx="0">
                  <c:v>2008.0</c:v>
                </c:pt>
                <c:pt idx="1">
                  <c:v>2009.0</c:v>
                </c:pt>
                <c:pt idx="2">
                  <c:v>2010.0</c:v>
                </c:pt>
                <c:pt idx="3">
                  <c:v>2011.0</c:v>
                </c:pt>
                <c:pt idx="4">
                  <c:v>2012.0</c:v>
                </c:pt>
                <c:pt idx="5">
                  <c:v>2013.0</c:v>
                </c:pt>
                <c:pt idx="6">
                  <c:v>2014.0</c:v>
                </c:pt>
                <c:pt idx="7">
                  <c:v>2015.0</c:v>
                </c:pt>
                <c:pt idx="8">
                  <c:v>2016.0</c:v>
                </c:pt>
              </c:numCache>
            </c:numRef>
          </c:cat>
          <c:val>
            <c:numRef>
              <c:f>(Sheet2!$D$7,Sheet2!$F$7,Sheet2!$H$7,Sheet2!$J$7,Sheet2!$L$7,Sheet2!$N$7,Sheet2!$P$7,Sheet2!$R$7,Sheet2!$T$7)</c:f>
              <c:numCache>
                <c:formatCode>0.0%</c:formatCode>
                <c:ptCount val="9"/>
                <c:pt idx="0">
                  <c:v>0.019939577039275</c:v>
                </c:pt>
                <c:pt idx="1">
                  <c:v>0.0392749244712991</c:v>
                </c:pt>
                <c:pt idx="2">
                  <c:v>0.0580060422960724</c:v>
                </c:pt>
                <c:pt idx="3">
                  <c:v>0.0628398791540785</c:v>
                </c:pt>
                <c:pt idx="4">
                  <c:v>0.0175226586102719</c:v>
                </c:pt>
                <c:pt idx="5">
                  <c:v>-0.0181268882175226</c:v>
                </c:pt>
                <c:pt idx="6">
                  <c:v>-0.0302114803625377</c:v>
                </c:pt>
                <c:pt idx="7">
                  <c:v>-0.125075528700906</c:v>
                </c:pt>
                <c:pt idx="8">
                  <c:v>-0.260422960725076</c:v>
                </c:pt>
              </c:numCache>
            </c:numRef>
          </c:val>
          <c:smooth val="0"/>
        </c:ser>
        <c:ser>
          <c:idx val="6"/>
          <c:order val="6"/>
          <c:tx>
            <c:strRef>
              <c:f>Sheet2!$A$8</c:f>
              <c:strCache>
                <c:ptCount val="1"/>
                <c:pt idx="0">
                  <c:v>Students</c:v>
                </c:pt>
              </c:strCache>
            </c:strRef>
          </c:tx>
          <c:spPr>
            <a:ln w="34925" cap="rnd">
              <a:solidFill>
                <a:schemeClr val="accent1">
                  <a:lumMod val="60000"/>
                </a:schemeClr>
              </a:solidFill>
              <a:round/>
            </a:ln>
            <a:effectLst>
              <a:outerShdw blurRad="57150" dist="19050" dir="5400000" algn="ctr" rotWithShape="0">
                <a:srgbClr val="000000">
                  <a:alpha val="63000"/>
                </a:srgbClr>
              </a:outerShdw>
            </a:effectLst>
          </c:spPr>
          <c:marker>
            <c:symbol val="none"/>
          </c:marker>
          <c:cat>
            <c:numRef>
              <c:f>(Sheet2!$D$1,Sheet2!$F$1,Sheet2!$H$1,Sheet2!$J$1,Sheet2!$L$1,Sheet2!$N$1,Sheet2!$P$1,Sheet2!$R$1,Sheet2!$T$1)</c:f>
              <c:numCache>
                <c:formatCode>General</c:formatCode>
                <c:ptCount val="9"/>
                <c:pt idx="0">
                  <c:v>2008.0</c:v>
                </c:pt>
                <c:pt idx="1">
                  <c:v>2009.0</c:v>
                </c:pt>
                <c:pt idx="2">
                  <c:v>2010.0</c:v>
                </c:pt>
                <c:pt idx="3">
                  <c:v>2011.0</c:v>
                </c:pt>
                <c:pt idx="4">
                  <c:v>2012.0</c:v>
                </c:pt>
                <c:pt idx="5">
                  <c:v>2013.0</c:v>
                </c:pt>
                <c:pt idx="6">
                  <c:v>2014.0</c:v>
                </c:pt>
                <c:pt idx="7">
                  <c:v>2015.0</c:v>
                </c:pt>
                <c:pt idx="8">
                  <c:v>2016.0</c:v>
                </c:pt>
              </c:numCache>
            </c:numRef>
          </c:cat>
          <c:val>
            <c:numRef>
              <c:f>(Sheet2!$D$8,Sheet2!$F$8,Sheet2!$H$8,Sheet2!$J$8,Sheet2!$L$8,Sheet2!$N$8,Sheet2!$P$8,Sheet2!$R$8,Sheet2!$T$8)</c:f>
              <c:numCache>
                <c:formatCode>0.0%</c:formatCode>
                <c:ptCount val="9"/>
                <c:pt idx="0">
                  <c:v>-0.0147738645570223</c:v>
                </c:pt>
                <c:pt idx="1">
                  <c:v>-0.0301672782728876</c:v>
                </c:pt>
                <c:pt idx="2">
                  <c:v>-0.0450841157127199</c:v>
                </c:pt>
                <c:pt idx="3">
                  <c:v>-0.0555687937854453</c:v>
                </c:pt>
                <c:pt idx="4">
                  <c:v>-0.101796692560644</c:v>
                </c:pt>
                <c:pt idx="5">
                  <c:v>-0.143878377734356</c:v>
                </c:pt>
                <c:pt idx="6">
                  <c:v>-0.175904303483773</c:v>
                </c:pt>
                <c:pt idx="7">
                  <c:v>-0.175904303483773</c:v>
                </c:pt>
                <c:pt idx="8">
                  <c:v>-0.238097507506076</c:v>
                </c:pt>
              </c:numCache>
            </c:numRef>
          </c:val>
          <c:smooth val="0"/>
        </c:ser>
        <c:dLbls>
          <c:showLegendKey val="0"/>
          <c:showVal val="0"/>
          <c:showCatName val="0"/>
          <c:showSerName val="0"/>
          <c:showPercent val="0"/>
          <c:showBubbleSize val="0"/>
        </c:dLbls>
        <c:smooth val="0"/>
        <c:axId val="-1577642528"/>
        <c:axId val="-1585882448"/>
      </c:lineChart>
      <c:catAx>
        <c:axId val="-1577642528"/>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1585882448"/>
        <c:crosses val="autoZero"/>
        <c:auto val="1"/>
        <c:lblAlgn val="ctr"/>
        <c:lblOffset val="100"/>
        <c:noMultiLvlLbl val="0"/>
      </c:catAx>
      <c:valAx>
        <c:axId val="-1585882448"/>
        <c:scaling>
          <c:orientation val="minMax"/>
        </c:scaling>
        <c:delete val="0"/>
        <c:axPos val="l"/>
        <c:majorGridlines>
          <c:spPr>
            <a:ln w="9525" cap="flat" cmpd="sng" algn="ctr">
              <a:solidFill>
                <a:schemeClr val="lt1">
                  <a:lumMod val="95000"/>
                  <a:alpha val="10000"/>
                </a:schemeClr>
              </a:solidFill>
              <a:round/>
            </a:ln>
            <a:effectLst/>
          </c:spPr>
        </c:majorGridlines>
        <c:numFmt formatCode="0.0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15776425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legend>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212</Words>
  <Characters>1213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cp:lastPrinted>2017-04-27T20:48:00Z</cp:lastPrinted>
  <dcterms:created xsi:type="dcterms:W3CDTF">2017-04-27T20:48:00Z</dcterms:created>
  <dcterms:modified xsi:type="dcterms:W3CDTF">2017-04-27T20:49:00Z</dcterms:modified>
</cp:coreProperties>
</file>